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A6" w:rsidRPr="009C5C9E" w:rsidRDefault="00162DA6" w:rsidP="00A76E2B">
      <w:pPr>
        <w:pStyle w:val="NormalWeb"/>
        <w:spacing w:before="0" w:beforeAutospacing="0" w:after="0" w:afterAutospacing="0"/>
        <w:rPr>
          <w:rFonts w:ascii="Calibri" w:hAnsi="Calibri"/>
          <w:b/>
        </w:rPr>
      </w:pPr>
      <w:bookmarkStart w:id="0" w:name="_GoBack"/>
      <w:bookmarkEnd w:id="0"/>
      <w:r w:rsidRPr="009C5C9E">
        <w:rPr>
          <w:rFonts w:ascii="Calibri" w:hAnsi="Calibri"/>
          <w:b/>
        </w:rPr>
        <w:t xml:space="preserve">Name of Project </w:t>
      </w:r>
    </w:p>
    <w:p w:rsidR="0030440C" w:rsidRPr="009C5C9E" w:rsidRDefault="0030440C" w:rsidP="00A76E2B">
      <w:pPr>
        <w:pStyle w:val="NormalWeb"/>
        <w:spacing w:before="0" w:beforeAutospacing="0" w:after="0" w:afterAutospacing="0"/>
        <w:rPr>
          <w:rFonts w:ascii="Calibri" w:hAnsi="Calibri"/>
        </w:rPr>
      </w:pPr>
    </w:p>
    <w:p w:rsidR="00162DA6" w:rsidRPr="009C5C9E" w:rsidRDefault="005040A4" w:rsidP="00A76E2B">
      <w:pPr>
        <w:pStyle w:val="NormalWeb"/>
        <w:spacing w:before="0" w:beforeAutospacing="0" w:after="0" w:afterAutospacing="0"/>
        <w:rPr>
          <w:rFonts w:ascii="Calibri" w:hAnsi="Calibri"/>
        </w:rPr>
      </w:pPr>
      <w:r w:rsidRPr="009C5C9E">
        <w:rPr>
          <w:rFonts w:ascii="Calibri" w:hAnsi="Calibri"/>
        </w:rPr>
        <w:t xml:space="preserve">Analysis of how </w:t>
      </w:r>
      <w:r w:rsidR="00FA5FE3" w:rsidRPr="009C5C9E">
        <w:rPr>
          <w:rFonts w:ascii="Calibri" w:hAnsi="Calibri"/>
        </w:rPr>
        <w:t xml:space="preserve">monetary policy can affect the macroeconomic outcomes of </w:t>
      </w:r>
      <w:r w:rsidR="00977ED7" w:rsidRPr="009C5C9E">
        <w:rPr>
          <w:rFonts w:ascii="Calibri" w:hAnsi="Calibri"/>
        </w:rPr>
        <w:t>a U.S. carbon tax</w:t>
      </w:r>
    </w:p>
    <w:p w:rsidR="00EA5F22" w:rsidRPr="009C5C9E" w:rsidRDefault="00EA5F22" w:rsidP="00A76E2B">
      <w:pPr>
        <w:pStyle w:val="NormalWeb"/>
        <w:spacing w:before="0" w:beforeAutospacing="0" w:after="0" w:afterAutospacing="0"/>
        <w:rPr>
          <w:rFonts w:ascii="Calibri" w:hAnsi="Calibri"/>
        </w:rPr>
      </w:pPr>
    </w:p>
    <w:p w:rsidR="009C5C9E" w:rsidRPr="009C5C9E" w:rsidRDefault="009C5C9E" w:rsidP="009C5C9E">
      <w:pPr>
        <w:pStyle w:val="NormalWeb"/>
        <w:spacing w:before="0" w:beforeAutospacing="0" w:after="0" w:afterAutospacing="0"/>
        <w:rPr>
          <w:rFonts w:ascii="Calibri" w:hAnsi="Calibri"/>
          <w:b/>
        </w:rPr>
      </w:pPr>
      <w:r w:rsidRPr="009C5C9E">
        <w:rPr>
          <w:rFonts w:ascii="Calibri" w:hAnsi="Calibri"/>
          <w:b/>
        </w:rPr>
        <w:t>Final Report on the Project</w:t>
      </w:r>
    </w:p>
    <w:p w:rsidR="009C5C9E" w:rsidRPr="009C5C9E" w:rsidRDefault="009C5C9E" w:rsidP="009C5C9E">
      <w:pPr>
        <w:pStyle w:val="NormalWeb"/>
        <w:spacing w:before="0" w:beforeAutospacing="0" w:after="0" w:afterAutospacing="0"/>
        <w:rPr>
          <w:rFonts w:ascii="Calibri" w:hAnsi="Calibri"/>
          <w:b/>
        </w:rPr>
      </w:pPr>
      <w:r w:rsidRPr="009C5C9E">
        <w:rPr>
          <w:rFonts w:ascii="Calibri" w:hAnsi="Calibri"/>
          <w:b/>
        </w:rPr>
        <w:t>November 30, 2017</w:t>
      </w:r>
    </w:p>
    <w:p w:rsidR="009C5C9E" w:rsidRPr="009C5C9E" w:rsidRDefault="009C5C9E" w:rsidP="009C5C9E">
      <w:pPr>
        <w:tabs>
          <w:tab w:val="left" w:pos="720"/>
        </w:tabs>
        <w:spacing w:after="0" w:line="240" w:lineRule="auto"/>
        <w:rPr>
          <w:sz w:val="24"/>
          <w:szCs w:val="24"/>
        </w:rPr>
      </w:pPr>
    </w:p>
    <w:p w:rsidR="00162DA6" w:rsidRPr="009C5C9E" w:rsidRDefault="0030440C" w:rsidP="009C5C9E">
      <w:pPr>
        <w:spacing w:line="240" w:lineRule="auto"/>
        <w:rPr>
          <w:sz w:val="24"/>
          <w:szCs w:val="24"/>
        </w:rPr>
      </w:pPr>
      <w:r w:rsidRPr="009C5C9E">
        <w:rPr>
          <w:sz w:val="24"/>
          <w:szCs w:val="24"/>
        </w:rPr>
        <w:t>This project</w:t>
      </w:r>
      <w:r w:rsidR="00E47D21" w:rsidRPr="009C5C9E">
        <w:rPr>
          <w:sz w:val="24"/>
          <w:szCs w:val="24"/>
        </w:rPr>
        <w:t xml:space="preserve"> is </w:t>
      </w:r>
      <w:r w:rsidRPr="009C5C9E">
        <w:rPr>
          <w:rFonts w:ascii="Calibri" w:hAnsi="Calibri"/>
          <w:sz w:val="24"/>
          <w:szCs w:val="24"/>
        </w:rPr>
        <w:t>part of the Brookings Carbon Tax Initiative</w:t>
      </w:r>
      <w:r w:rsidR="009900D4" w:rsidRPr="009C5C9E">
        <w:rPr>
          <w:rFonts w:ascii="Calibri" w:hAnsi="Calibri"/>
          <w:sz w:val="24"/>
          <w:szCs w:val="24"/>
        </w:rPr>
        <w:t xml:space="preserve"> and builds on earlier work supported by the </w:t>
      </w:r>
      <w:r w:rsidR="00A82AA9" w:rsidRPr="009C5C9E">
        <w:rPr>
          <w:rFonts w:ascii="Calibri" w:hAnsi="Calibri"/>
          <w:sz w:val="24"/>
          <w:szCs w:val="24"/>
        </w:rPr>
        <w:t xml:space="preserve">Alex C. </w:t>
      </w:r>
      <w:r w:rsidR="009900D4" w:rsidRPr="009C5C9E">
        <w:rPr>
          <w:rFonts w:ascii="Calibri" w:hAnsi="Calibri"/>
          <w:sz w:val="24"/>
          <w:szCs w:val="24"/>
        </w:rPr>
        <w:t>Walker Foundation</w:t>
      </w:r>
      <w:r w:rsidR="00B466D9" w:rsidRPr="009C5C9E">
        <w:rPr>
          <w:sz w:val="24"/>
          <w:szCs w:val="24"/>
        </w:rPr>
        <w:t xml:space="preserve">. </w:t>
      </w:r>
      <w:r w:rsidR="00897981" w:rsidRPr="009C5C9E">
        <w:rPr>
          <w:sz w:val="24"/>
          <w:szCs w:val="24"/>
        </w:rPr>
        <w:t xml:space="preserve">In this project, </w:t>
      </w:r>
      <w:r w:rsidRPr="009C5C9E">
        <w:rPr>
          <w:sz w:val="24"/>
          <w:szCs w:val="24"/>
        </w:rPr>
        <w:t xml:space="preserve">Brookings scholars </w:t>
      </w:r>
      <w:r w:rsidR="009C5C9E" w:rsidRPr="009C5C9E">
        <w:rPr>
          <w:sz w:val="24"/>
          <w:szCs w:val="24"/>
        </w:rPr>
        <w:t>explored</w:t>
      </w:r>
      <w:r w:rsidR="00722D6F" w:rsidRPr="009C5C9E">
        <w:rPr>
          <w:sz w:val="24"/>
          <w:szCs w:val="24"/>
        </w:rPr>
        <w:t xml:space="preserve"> the </w:t>
      </w:r>
      <w:r w:rsidR="00165ACB" w:rsidRPr="009C5C9E">
        <w:rPr>
          <w:sz w:val="24"/>
          <w:szCs w:val="24"/>
        </w:rPr>
        <w:t xml:space="preserve">interaction of monetary policy and </w:t>
      </w:r>
      <w:r w:rsidR="009C5C9E" w:rsidRPr="009C5C9E">
        <w:rPr>
          <w:sz w:val="24"/>
          <w:szCs w:val="24"/>
        </w:rPr>
        <w:t>climate change</w:t>
      </w:r>
      <w:r w:rsidR="000654A5" w:rsidRPr="009C5C9E">
        <w:rPr>
          <w:sz w:val="24"/>
          <w:szCs w:val="24"/>
        </w:rPr>
        <w:t>.</w:t>
      </w:r>
      <w:r w:rsidR="00864EC2" w:rsidRPr="009C5C9E">
        <w:rPr>
          <w:sz w:val="24"/>
          <w:szCs w:val="24"/>
        </w:rPr>
        <w:t xml:space="preserve"> </w:t>
      </w:r>
      <w:r w:rsidR="00140E2A" w:rsidRPr="009C5C9E">
        <w:rPr>
          <w:rFonts w:ascii="Calibri" w:hAnsi="Calibri"/>
          <w:sz w:val="24"/>
          <w:szCs w:val="24"/>
        </w:rPr>
        <w:t xml:space="preserve">Brookings scholars </w:t>
      </w:r>
      <w:r w:rsidR="009C5C9E" w:rsidRPr="009C5C9E">
        <w:rPr>
          <w:rFonts w:ascii="Calibri" w:hAnsi="Calibri"/>
          <w:sz w:val="24"/>
          <w:szCs w:val="24"/>
        </w:rPr>
        <w:t>presented</w:t>
      </w:r>
      <w:r w:rsidR="00140E2A" w:rsidRPr="009C5C9E">
        <w:rPr>
          <w:rFonts w:ascii="Calibri" w:hAnsi="Calibri"/>
          <w:sz w:val="24"/>
          <w:szCs w:val="24"/>
        </w:rPr>
        <w:t xml:space="preserve"> their findings in a </w:t>
      </w:r>
      <w:r w:rsidR="00214DCA" w:rsidRPr="009C5C9E">
        <w:rPr>
          <w:rFonts w:ascii="Calibri" w:hAnsi="Calibri"/>
          <w:sz w:val="24"/>
          <w:szCs w:val="24"/>
        </w:rPr>
        <w:t>policy brief</w:t>
      </w:r>
      <w:r w:rsidR="00052BC2" w:rsidRPr="009C5C9E">
        <w:rPr>
          <w:rFonts w:ascii="Calibri" w:hAnsi="Calibri"/>
          <w:sz w:val="24"/>
          <w:szCs w:val="24"/>
        </w:rPr>
        <w:t xml:space="preserve">.  </w:t>
      </w:r>
    </w:p>
    <w:p w:rsidR="009C5C9E" w:rsidRPr="009C5C9E" w:rsidRDefault="009C5C9E" w:rsidP="009C5C9E">
      <w:pPr>
        <w:rPr>
          <w:sz w:val="24"/>
          <w:szCs w:val="24"/>
        </w:rPr>
      </w:pPr>
      <w:r>
        <w:rPr>
          <w:sz w:val="24"/>
          <w:szCs w:val="24"/>
        </w:rPr>
        <w:t>The</w:t>
      </w:r>
      <w:r w:rsidRPr="009C5C9E">
        <w:rPr>
          <w:sz w:val="24"/>
          <w:szCs w:val="24"/>
        </w:rPr>
        <w:t xml:space="preserve"> paper argued that in a carbon-constrained and climatically-disrupted world, there are important linkages between the climate change and monetary policy regimes. </w:t>
      </w:r>
      <w:r w:rsidR="002918FF">
        <w:rPr>
          <w:sz w:val="24"/>
          <w:szCs w:val="24"/>
        </w:rPr>
        <w:t xml:space="preserve">In light of our analysis, we expanded the original scope of the project to </w:t>
      </w:r>
      <w:r w:rsidRPr="009C5C9E">
        <w:rPr>
          <w:sz w:val="24"/>
          <w:szCs w:val="24"/>
        </w:rPr>
        <w:t xml:space="preserve">discuss three relevant connections. First, the question arises how central banks should anticipate and respond to inflation increases and output decreases that result from climate policy. Responding solely to the inflationary component would lead to larger output losses than using a monetary policy rule that also aims to keep output and employment high. In particular, we argue that national income targeting is an attractive approach. It avoids creating public expectations of higher future inflation, and it does not require the central bank to understand the precise nature of the climate policy shock; simple adherence to the policy rule provides a reasonable policy response. Moreover, national income targeting is less vulnerable to imprecise information about the current state of the economy than many other monetary policy rules. </w:t>
      </w:r>
    </w:p>
    <w:p w:rsidR="009C5C9E" w:rsidRPr="009C5C9E" w:rsidRDefault="009C5C9E" w:rsidP="009C5C9E">
      <w:pPr>
        <w:rPr>
          <w:sz w:val="24"/>
          <w:szCs w:val="24"/>
        </w:rPr>
      </w:pPr>
      <w:r w:rsidRPr="009C5C9E">
        <w:rPr>
          <w:sz w:val="24"/>
          <w:szCs w:val="24"/>
        </w:rPr>
        <w:t xml:space="preserve">Second, the design of climate policy can significantly affect how easily central bankers can respond to the direct and indirect effects of the policy. Fluctuating allowance prices under a cap and trade policy would make inflation forecasting more difficult for central banks than a policy such as a carbon tax or a hybrid approach in which carbon prices are more stable and predictable. Thus, a carbon tax or a hybrid policy with stable short term carbon prices would simplify the response of a central bank to economic shocks relative to a more volatile carbon pricing approach. </w:t>
      </w:r>
    </w:p>
    <w:p w:rsidR="009C5C9E" w:rsidRPr="009C5C9E" w:rsidRDefault="009C5C9E" w:rsidP="009C5C9E">
      <w:pPr>
        <w:rPr>
          <w:sz w:val="24"/>
          <w:szCs w:val="24"/>
        </w:rPr>
      </w:pPr>
      <w:r w:rsidRPr="009C5C9E">
        <w:rPr>
          <w:sz w:val="24"/>
          <w:szCs w:val="24"/>
        </w:rPr>
        <w:t xml:space="preserve">Finally, a third challenge is that climatic disruption will increase the frequency and severity of negative supply shocks, making it more difficult for central banks to forecast output gaps, and therefore to forecast inflation, a key part of some monetary policy frameworks. We conclude that nominal income targeting, which does not rely on such forecasts, is better suited to a climate-disrupted world than other monetary rules. </w:t>
      </w:r>
    </w:p>
    <w:p w:rsidR="009C5C9E" w:rsidRPr="009C5C9E" w:rsidRDefault="009C5C9E" w:rsidP="009C5C9E">
      <w:pPr>
        <w:rPr>
          <w:sz w:val="24"/>
          <w:szCs w:val="24"/>
        </w:rPr>
      </w:pPr>
      <w:r w:rsidRPr="009C5C9E">
        <w:rPr>
          <w:sz w:val="24"/>
          <w:szCs w:val="24"/>
        </w:rPr>
        <w:lastRenderedPageBreak/>
        <w:t>Overall, the interaction between climate policy and monetary policy suggests that the two be chosen jointly. Considering each regime separately can easily lead to policies that seem fine in isolation but that perform poorly in practice.</w:t>
      </w:r>
    </w:p>
    <w:p w:rsidR="009F675D" w:rsidRPr="009C5C9E" w:rsidRDefault="005A63B4" w:rsidP="00A76E2B">
      <w:pPr>
        <w:tabs>
          <w:tab w:val="left" w:pos="720"/>
        </w:tabs>
        <w:spacing w:after="0" w:line="240" w:lineRule="auto"/>
        <w:rPr>
          <w:rFonts w:ascii="Calibri" w:hAnsi="Calibri" w:cs="Times New Roman"/>
          <w:i/>
          <w:sz w:val="24"/>
          <w:szCs w:val="24"/>
        </w:rPr>
      </w:pPr>
      <w:r w:rsidRPr="009C5C9E">
        <w:rPr>
          <w:rFonts w:ascii="Calibri" w:hAnsi="Calibri" w:cs="Times New Roman"/>
          <w:sz w:val="24"/>
          <w:szCs w:val="24"/>
          <w:u w:val="single"/>
        </w:rPr>
        <w:t xml:space="preserve">Outcomes of </w:t>
      </w:r>
      <w:r w:rsidR="001965FC" w:rsidRPr="009C5C9E">
        <w:rPr>
          <w:rFonts w:ascii="Calibri" w:hAnsi="Calibri" w:cs="Times New Roman"/>
          <w:sz w:val="24"/>
          <w:szCs w:val="24"/>
          <w:u w:val="single"/>
        </w:rPr>
        <w:t xml:space="preserve">the </w:t>
      </w:r>
      <w:r w:rsidR="00786F43" w:rsidRPr="009C5C9E">
        <w:rPr>
          <w:rFonts w:ascii="Calibri" w:hAnsi="Calibri" w:cs="Times New Roman"/>
          <w:sz w:val="24"/>
          <w:szCs w:val="24"/>
          <w:u w:val="single"/>
        </w:rPr>
        <w:t>Project</w:t>
      </w:r>
    </w:p>
    <w:p w:rsidR="006D2730" w:rsidRPr="009C5C9E" w:rsidRDefault="006D2730" w:rsidP="00A76E2B">
      <w:pPr>
        <w:tabs>
          <w:tab w:val="left" w:pos="720"/>
        </w:tabs>
        <w:spacing w:after="0" w:line="240" w:lineRule="auto"/>
        <w:rPr>
          <w:rFonts w:ascii="Calibri" w:hAnsi="Calibri" w:cs="Times New Roman"/>
          <w:sz w:val="24"/>
          <w:szCs w:val="24"/>
        </w:rPr>
      </w:pPr>
    </w:p>
    <w:p w:rsidR="006E3C2E" w:rsidRPr="009C5C9E" w:rsidRDefault="001B41F9" w:rsidP="00A76E2B">
      <w:pPr>
        <w:tabs>
          <w:tab w:val="left" w:pos="720"/>
        </w:tabs>
        <w:spacing w:after="0" w:line="240" w:lineRule="auto"/>
        <w:rPr>
          <w:rFonts w:ascii="Calibri" w:hAnsi="Calibri" w:cs="Times New Roman"/>
          <w:sz w:val="24"/>
          <w:szCs w:val="24"/>
        </w:rPr>
      </w:pPr>
      <w:r w:rsidRPr="009C5C9E">
        <w:rPr>
          <w:rFonts w:ascii="Calibri" w:hAnsi="Calibri" w:cs="Times New Roman"/>
          <w:sz w:val="24"/>
          <w:szCs w:val="24"/>
        </w:rPr>
        <w:t xml:space="preserve">The outcome of this grant and allied funding for the Brookings Carbon Tax Initiative </w:t>
      </w:r>
      <w:r w:rsidR="00B748CE">
        <w:rPr>
          <w:rFonts w:ascii="Calibri" w:hAnsi="Calibri" w:cs="Times New Roman"/>
          <w:sz w:val="24"/>
          <w:szCs w:val="24"/>
        </w:rPr>
        <w:t>included the policy brief</w:t>
      </w:r>
      <w:r w:rsidR="00B466D9" w:rsidRPr="009C5C9E">
        <w:rPr>
          <w:rFonts w:ascii="Calibri" w:hAnsi="Calibri" w:cs="Times New Roman"/>
          <w:sz w:val="24"/>
          <w:szCs w:val="24"/>
        </w:rPr>
        <w:t xml:space="preserve">. </w:t>
      </w:r>
      <w:r w:rsidR="00CD2609" w:rsidRPr="009C5C9E">
        <w:rPr>
          <w:rFonts w:ascii="Calibri" w:hAnsi="Calibri" w:cs="Times New Roman"/>
          <w:sz w:val="24"/>
          <w:szCs w:val="24"/>
        </w:rPr>
        <w:t xml:space="preserve">Scholars </w:t>
      </w:r>
      <w:r w:rsidR="002918FF">
        <w:rPr>
          <w:rFonts w:ascii="Calibri" w:hAnsi="Calibri" w:cs="Times New Roman"/>
          <w:sz w:val="24"/>
          <w:szCs w:val="24"/>
        </w:rPr>
        <w:t>expect to submit</w:t>
      </w:r>
      <w:r w:rsidR="00CD2609" w:rsidRPr="009C5C9E">
        <w:rPr>
          <w:rFonts w:ascii="Calibri" w:hAnsi="Calibri" w:cs="Times New Roman"/>
          <w:sz w:val="24"/>
          <w:szCs w:val="24"/>
        </w:rPr>
        <w:t xml:space="preserve"> </w:t>
      </w:r>
      <w:r w:rsidR="00B748CE">
        <w:rPr>
          <w:rFonts w:ascii="Calibri" w:hAnsi="Calibri" w:cs="Times New Roman"/>
          <w:sz w:val="24"/>
          <w:szCs w:val="24"/>
        </w:rPr>
        <w:t>the work to a scholarly journal and present it at academic conferences and meetings</w:t>
      </w:r>
      <w:r w:rsidRPr="009C5C9E">
        <w:rPr>
          <w:rFonts w:ascii="Calibri" w:hAnsi="Calibri" w:cs="Times New Roman"/>
          <w:sz w:val="24"/>
          <w:szCs w:val="24"/>
        </w:rPr>
        <w:t>.</w:t>
      </w:r>
    </w:p>
    <w:p w:rsidR="006E3C2E" w:rsidRPr="009C5C9E" w:rsidRDefault="006E3C2E" w:rsidP="00A76E2B">
      <w:pPr>
        <w:tabs>
          <w:tab w:val="left" w:pos="720"/>
        </w:tabs>
        <w:spacing w:after="0" w:line="240" w:lineRule="auto"/>
        <w:rPr>
          <w:rFonts w:ascii="Calibri" w:hAnsi="Calibri" w:cs="Times New Roman"/>
          <w:sz w:val="24"/>
          <w:szCs w:val="24"/>
        </w:rPr>
      </w:pPr>
    </w:p>
    <w:p w:rsidR="00284C4A" w:rsidRPr="009C5C9E" w:rsidRDefault="00284C4A" w:rsidP="00A76E2B">
      <w:pPr>
        <w:tabs>
          <w:tab w:val="left" w:pos="720"/>
        </w:tabs>
        <w:spacing w:after="0" w:line="240" w:lineRule="auto"/>
        <w:rPr>
          <w:rFonts w:ascii="Calibri" w:hAnsi="Calibri" w:cs="Times New Roman"/>
          <w:sz w:val="24"/>
          <w:szCs w:val="24"/>
          <w:u w:val="single"/>
        </w:rPr>
      </w:pPr>
      <w:r w:rsidRPr="009C5C9E">
        <w:rPr>
          <w:rFonts w:ascii="Calibri" w:hAnsi="Calibri" w:cs="Times New Roman"/>
          <w:sz w:val="24"/>
          <w:szCs w:val="24"/>
          <w:u w:val="single"/>
        </w:rPr>
        <w:t>Project Timeline</w:t>
      </w:r>
    </w:p>
    <w:p w:rsidR="00B63B4F" w:rsidRPr="009C5C9E" w:rsidRDefault="00C209C0" w:rsidP="00A76E2B">
      <w:pPr>
        <w:pStyle w:val="ListParagraph"/>
        <w:numPr>
          <w:ilvl w:val="0"/>
          <w:numId w:val="9"/>
        </w:numPr>
        <w:tabs>
          <w:tab w:val="left" w:pos="360"/>
          <w:tab w:val="left" w:pos="720"/>
        </w:tabs>
        <w:rPr>
          <w:sz w:val="24"/>
          <w:szCs w:val="24"/>
        </w:rPr>
      </w:pPr>
      <w:r w:rsidRPr="009C5C9E">
        <w:rPr>
          <w:sz w:val="24"/>
          <w:szCs w:val="24"/>
        </w:rPr>
        <w:t>November 2016</w:t>
      </w:r>
      <w:r w:rsidR="00A942BE" w:rsidRPr="009C5C9E">
        <w:rPr>
          <w:sz w:val="24"/>
          <w:szCs w:val="24"/>
        </w:rPr>
        <w:t xml:space="preserve"> – </w:t>
      </w:r>
      <w:r w:rsidRPr="009C5C9E">
        <w:rPr>
          <w:sz w:val="24"/>
          <w:szCs w:val="24"/>
        </w:rPr>
        <w:t>R</w:t>
      </w:r>
      <w:r w:rsidR="00A942BE" w:rsidRPr="009C5C9E">
        <w:rPr>
          <w:sz w:val="24"/>
          <w:szCs w:val="24"/>
        </w:rPr>
        <w:t>esearch and analysis</w:t>
      </w:r>
      <w:r w:rsidRPr="009C5C9E">
        <w:rPr>
          <w:sz w:val="24"/>
          <w:szCs w:val="24"/>
        </w:rPr>
        <w:t xml:space="preserve"> </w:t>
      </w:r>
      <w:r w:rsidR="002918FF">
        <w:rPr>
          <w:sz w:val="24"/>
          <w:szCs w:val="24"/>
        </w:rPr>
        <w:t>began.</w:t>
      </w:r>
    </w:p>
    <w:p w:rsidR="00B1011B" w:rsidRPr="009C5C9E" w:rsidRDefault="00B748CE" w:rsidP="00A76E2B">
      <w:pPr>
        <w:pStyle w:val="ListParagraph"/>
        <w:numPr>
          <w:ilvl w:val="0"/>
          <w:numId w:val="9"/>
        </w:numPr>
        <w:tabs>
          <w:tab w:val="left" w:pos="360"/>
          <w:tab w:val="left" w:pos="720"/>
        </w:tabs>
        <w:rPr>
          <w:sz w:val="24"/>
          <w:szCs w:val="24"/>
        </w:rPr>
      </w:pPr>
      <w:r>
        <w:rPr>
          <w:sz w:val="24"/>
          <w:szCs w:val="24"/>
        </w:rPr>
        <w:t>November</w:t>
      </w:r>
      <w:r w:rsidR="00C209C0" w:rsidRPr="009C5C9E">
        <w:rPr>
          <w:sz w:val="24"/>
          <w:szCs w:val="24"/>
        </w:rPr>
        <w:t xml:space="preserve"> 2017</w:t>
      </w:r>
      <w:r w:rsidR="00B466D9" w:rsidRPr="009C5C9E">
        <w:rPr>
          <w:sz w:val="24"/>
          <w:szCs w:val="24"/>
        </w:rPr>
        <w:t xml:space="preserve"> – </w:t>
      </w:r>
      <w:r w:rsidR="002918FF">
        <w:rPr>
          <w:sz w:val="24"/>
          <w:szCs w:val="24"/>
        </w:rPr>
        <w:t>Completion of the policy brief. Grant period ended.</w:t>
      </w:r>
    </w:p>
    <w:p w:rsidR="00A82AA9" w:rsidRPr="009C5C9E" w:rsidRDefault="00A82AA9" w:rsidP="00A76E2B">
      <w:pPr>
        <w:spacing w:after="0" w:line="240" w:lineRule="auto"/>
        <w:rPr>
          <w:sz w:val="24"/>
          <w:szCs w:val="24"/>
        </w:rPr>
      </w:pPr>
    </w:p>
    <w:sectPr w:rsidR="00A82AA9" w:rsidRPr="009C5C9E" w:rsidSect="00B46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27" w:rsidRDefault="00224627" w:rsidP="00D3460B">
      <w:pPr>
        <w:spacing w:after="0" w:line="240" w:lineRule="auto"/>
      </w:pPr>
      <w:r>
        <w:separator/>
      </w:r>
    </w:p>
  </w:endnote>
  <w:endnote w:type="continuationSeparator" w:id="0">
    <w:p w:rsidR="00224627" w:rsidRDefault="00224627" w:rsidP="00D3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27" w:rsidRDefault="00224627" w:rsidP="00D3460B">
      <w:pPr>
        <w:spacing w:after="0" w:line="240" w:lineRule="auto"/>
      </w:pPr>
      <w:r>
        <w:separator/>
      </w:r>
    </w:p>
  </w:footnote>
  <w:footnote w:type="continuationSeparator" w:id="0">
    <w:p w:rsidR="00224627" w:rsidRDefault="00224627" w:rsidP="00D34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60E5"/>
    <w:multiLevelType w:val="hybridMultilevel"/>
    <w:tmpl w:val="E8D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1254F"/>
    <w:multiLevelType w:val="hybridMultilevel"/>
    <w:tmpl w:val="17929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34BC0"/>
    <w:multiLevelType w:val="hybridMultilevel"/>
    <w:tmpl w:val="B2DC36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40AE0222"/>
    <w:multiLevelType w:val="hybridMultilevel"/>
    <w:tmpl w:val="21C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10307"/>
    <w:multiLevelType w:val="hybridMultilevel"/>
    <w:tmpl w:val="BB9AA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C0EE1"/>
    <w:multiLevelType w:val="multilevel"/>
    <w:tmpl w:val="F75E6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864B37"/>
    <w:multiLevelType w:val="hybridMultilevel"/>
    <w:tmpl w:val="7D48A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0A1C02"/>
    <w:multiLevelType w:val="hybridMultilevel"/>
    <w:tmpl w:val="7DA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777A7"/>
    <w:multiLevelType w:val="hybridMultilevel"/>
    <w:tmpl w:val="B470B088"/>
    <w:lvl w:ilvl="0" w:tplc="3886E00C">
      <w:numFmt w:val="bullet"/>
      <w:lvlText w:val=""/>
      <w:lvlJc w:val="left"/>
      <w:pPr>
        <w:ind w:left="1380" w:hanging="10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8"/>
  </w:num>
  <w:num w:numId="6">
    <w:abstractNumId w:val="5"/>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04"/>
    <w:rsid w:val="000172F3"/>
    <w:rsid w:val="00025305"/>
    <w:rsid w:val="000321D6"/>
    <w:rsid w:val="00034424"/>
    <w:rsid w:val="00052BC2"/>
    <w:rsid w:val="000559E6"/>
    <w:rsid w:val="00060BEF"/>
    <w:rsid w:val="000654A5"/>
    <w:rsid w:val="00065F4C"/>
    <w:rsid w:val="00074675"/>
    <w:rsid w:val="000876F2"/>
    <w:rsid w:val="000A12C5"/>
    <w:rsid w:val="000A3298"/>
    <w:rsid w:val="000A7365"/>
    <w:rsid w:val="000C0855"/>
    <w:rsid w:val="000D54EC"/>
    <w:rsid w:val="000D5A5A"/>
    <w:rsid w:val="000E211D"/>
    <w:rsid w:val="000F62D6"/>
    <w:rsid w:val="0010357D"/>
    <w:rsid w:val="00114A0A"/>
    <w:rsid w:val="00115CF4"/>
    <w:rsid w:val="00124B3E"/>
    <w:rsid w:val="00130CB5"/>
    <w:rsid w:val="00135FE2"/>
    <w:rsid w:val="00137268"/>
    <w:rsid w:val="00140E2A"/>
    <w:rsid w:val="00141A11"/>
    <w:rsid w:val="00141AFC"/>
    <w:rsid w:val="00156908"/>
    <w:rsid w:val="00162DA6"/>
    <w:rsid w:val="00165ACB"/>
    <w:rsid w:val="00167824"/>
    <w:rsid w:val="00172E47"/>
    <w:rsid w:val="001768C5"/>
    <w:rsid w:val="00177B9C"/>
    <w:rsid w:val="00181904"/>
    <w:rsid w:val="001959F0"/>
    <w:rsid w:val="00196392"/>
    <w:rsid w:val="001965FC"/>
    <w:rsid w:val="001A3605"/>
    <w:rsid w:val="001B009A"/>
    <w:rsid w:val="001B41F9"/>
    <w:rsid w:val="001C72F2"/>
    <w:rsid w:val="001D4E28"/>
    <w:rsid w:val="001D591B"/>
    <w:rsid w:val="001F2371"/>
    <w:rsid w:val="001F70EA"/>
    <w:rsid w:val="002023F9"/>
    <w:rsid w:val="00214DCA"/>
    <w:rsid w:val="00224627"/>
    <w:rsid w:val="00237D93"/>
    <w:rsid w:val="0026095F"/>
    <w:rsid w:val="00284C4A"/>
    <w:rsid w:val="002918FF"/>
    <w:rsid w:val="00297C93"/>
    <w:rsid w:val="002A5546"/>
    <w:rsid w:val="002C24B7"/>
    <w:rsid w:val="002D0BBD"/>
    <w:rsid w:val="002D2449"/>
    <w:rsid w:val="002D45B8"/>
    <w:rsid w:val="002D6A1D"/>
    <w:rsid w:val="002F3029"/>
    <w:rsid w:val="003004DF"/>
    <w:rsid w:val="00301485"/>
    <w:rsid w:val="0030440C"/>
    <w:rsid w:val="003350B9"/>
    <w:rsid w:val="00337F66"/>
    <w:rsid w:val="00341C97"/>
    <w:rsid w:val="00345744"/>
    <w:rsid w:val="003802C3"/>
    <w:rsid w:val="003E5626"/>
    <w:rsid w:val="003F01FA"/>
    <w:rsid w:val="00411ECE"/>
    <w:rsid w:val="0041725B"/>
    <w:rsid w:val="00417F00"/>
    <w:rsid w:val="00434963"/>
    <w:rsid w:val="004505A1"/>
    <w:rsid w:val="0045128F"/>
    <w:rsid w:val="004725DC"/>
    <w:rsid w:val="00475A1A"/>
    <w:rsid w:val="00481709"/>
    <w:rsid w:val="00484A83"/>
    <w:rsid w:val="00497849"/>
    <w:rsid w:val="004A2319"/>
    <w:rsid w:val="004B1D56"/>
    <w:rsid w:val="004B4B4A"/>
    <w:rsid w:val="004C430F"/>
    <w:rsid w:val="004D5D06"/>
    <w:rsid w:val="005040A4"/>
    <w:rsid w:val="00510F96"/>
    <w:rsid w:val="00542E33"/>
    <w:rsid w:val="0054562C"/>
    <w:rsid w:val="005627FA"/>
    <w:rsid w:val="00574B12"/>
    <w:rsid w:val="0058172A"/>
    <w:rsid w:val="00586E91"/>
    <w:rsid w:val="00590DAD"/>
    <w:rsid w:val="005A52E9"/>
    <w:rsid w:val="005A63B4"/>
    <w:rsid w:val="005C05EB"/>
    <w:rsid w:val="005C13D1"/>
    <w:rsid w:val="005F0DE2"/>
    <w:rsid w:val="005F7E9E"/>
    <w:rsid w:val="00602FA8"/>
    <w:rsid w:val="006119DE"/>
    <w:rsid w:val="00615DAB"/>
    <w:rsid w:val="006242A6"/>
    <w:rsid w:val="0065151D"/>
    <w:rsid w:val="0065413A"/>
    <w:rsid w:val="006668EE"/>
    <w:rsid w:val="00675997"/>
    <w:rsid w:val="00677C61"/>
    <w:rsid w:val="0069406B"/>
    <w:rsid w:val="006A0088"/>
    <w:rsid w:val="006A400A"/>
    <w:rsid w:val="006C3FBB"/>
    <w:rsid w:val="006D2730"/>
    <w:rsid w:val="006E3C2E"/>
    <w:rsid w:val="006E4D82"/>
    <w:rsid w:val="006E55FB"/>
    <w:rsid w:val="00706324"/>
    <w:rsid w:val="00715B92"/>
    <w:rsid w:val="00715DB4"/>
    <w:rsid w:val="007206B4"/>
    <w:rsid w:val="007215E9"/>
    <w:rsid w:val="007221EE"/>
    <w:rsid w:val="00722D6F"/>
    <w:rsid w:val="007231AF"/>
    <w:rsid w:val="007253E1"/>
    <w:rsid w:val="00730FC4"/>
    <w:rsid w:val="007319E7"/>
    <w:rsid w:val="00774019"/>
    <w:rsid w:val="007763F3"/>
    <w:rsid w:val="00786F43"/>
    <w:rsid w:val="007C55CE"/>
    <w:rsid w:val="007C6433"/>
    <w:rsid w:val="007C6B41"/>
    <w:rsid w:val="007F0F98"/>
    <w:rsid w:val="007F639D"/>
    <w:rsid w:val="00806689"/>
    <w:rsid w:val="0081120E"/>
    <w:rsid w:val="00816E4D"/>
    <w:rsid w:val="0082379B"/>
    <w:rsid w:val="00827D5D"/>
    <w:rsid w:val="00837A77"/>
    <w:rsid w:val="00845E07"/>
    <w:rsid w:val="00846C43"/>
    <w:rsid w:val="00850287"/>
    <w:rsid w:val="00853E93"/>
    <w:rsid w:val="00861179"/>
    <w:rsid w:val="0086272F"/>
    <w:rsid w:val="00864EC2"/>
    <w:rsid w:val="00883A64"/>
    <w:rsid w:val="0089394B"/>
    <w:rsid w:val="00893C46"/>
    <w:rsid w:val="00897981"/>
    <w:rsid w:val="008A76AB"/>
    <w:rsid w:val="008C7C01"/>
    <w:rsid w:val="008E16DC"/>
    <w:rsid w:val="008E449E"/>
    <w:rsid w:val="008F32B2"/>
    <w:rsid w:val="008F6C7B"/>
    <w:rsid w:val="00901787"/>
    <w:rsid w:val="00922173"/>
    <w:rsid w:val="0092436D"/>
    <w:rsid w:val="0092522D"/>
    <w:rsid w:val="00933832"/>
    <w:rsid w:val="00935726"/>
    <w:rsid w:val="00935D83"/>
    <w:rsid w:val="009362DC"/>
    <w:rsid w:val="00936E21"/>
    <w:rsid w:val="00942D2A"/>
    <w:rsid w:val="009521B0"/>
    <w:rsid w:val="0096604E"/>
    <w:rsid w:val="00966C70"/>
    <w:rsid w:val="00970AF4"/>
    <w:rsid w:val="009714BA"/>
    <w:rsid w:val="00974831"/>
    <w:rsid w:val="00976882"/>
    <w:rsid w:val="00977ED7"/>
    <w:rsid w:val="00981F82"/>
    <w:rsid w:val="009900D4"/>
    <w:rsid w:val="00992609"/>
    <w:rsid w:val="00994847"/>
    <w:rsid w:val="00996521"/>
    <w:rsid w:val="009A3DE5"/>
    <w:rsid w:val="009A46BD"/>
    <w:rsid w:val="009A7E7C"/>
    <w:rsid w:val="009B2CF2"/>
    <w:rsid w:val="009B3EDF"/>
    <w:rsid w:val="009B47F9"/>
    <w:rsid w:val="009C0D0A"/>
    <w:rsid w:val="009C3F0E"/>
    <w:rsid w:val="009C5C9E"/>
    <w:rsid w:val="009D4699"/>
    <w:rsid w:val="009E74BF"/>
    <w:rsid w:val="009F675D"/>
    <w:rsid w:val="00A010EA"/>
    <w:rsid w:val="00A13471"/>
    <w:rsid w:val="00A2528D"/>
    <w:rsid w:val="00A45C4C"/>
    <w:rsid w:val="00A648BB"/>
    <w:rsid w:val="00A6608B"/>
    <w:rsid w:val="00A711C5"/>
    <w:rsid w:val="00A71D06"/>
    <w:rsid w:val="00A76E2B"/>
    <w:rsid w:val="00A82AA9"/>
    <w:rsid w:val="00A83DE4"/>
    <w:rsid w:val="00A8787C"/>
    <w:rsid w:val="00A9258C"/>
    <w:rsid w:val="00A942BE"/>
    <w:rsid w:val="00A9567D"/>
    <w:rsid w:val="00AB43E4"/>
    <w:rsid w:val="00AC7F57"/>
    <w:rsid w:val="00AD0B99"/>
    <w:rsid w:val="00AE0AAA"/>
    <w:rsid w:val="00AF54D7"/>
    <w:rsid w:val="00B07C71"/>
    <w:rsid w:val="00B1011B"/>
    <w:rsid w:val="00B400BF"/>
    <w:rsid w:val="00B466D9"/>
    <w:rsid w:val="00B46D6B"/>
    <w:rsid w:val="00B50F5F"/>
    <w:rsid w:val="00B51396"/>
    <w:rsid w:val="00B56131"/>
    <w:rsid w:val="00B61EBD"/>
    <w:rsid w:val="00B63B4F"/>
    <w:rsid w:val="00B723BA"/>
    <w:rsid w:val="00B748CE"/>
    <w:rsid w:val="00B85F44"/>
    <w:rsid w:val="00B939BF"/>
    <w:rsid w:val="00BA2437"/>
    <w:rsid w:val="00BD158E"/>
    <w:rsid w:val="00BE0A71"/>
    <w:rsid w:val="00C131D2"/>
    <w:rsid w:val="00C209C0"/>
    <w:rsid w:val="00C3180F"/>
    <w:rsid w:val="00C4512C"/>
    <w:rsid w:val="00C46767"/>
    <w:rsid w:val="00C50082"/>
    <w:rsid w:val="00C64051"/>
    <w:rsid w:val="00C65FDF"/>
    <w:rsid w:val="00C82072"/>
    <w:rsid w:val="00CB0E55"/>
    <w:rsid w:val="00CB1D2B"/>
    <w:rsid w:val="00CD2609"/>
    <w:rsid w:val="00CD28FE"/>
    <w:rsid w:val="00CD4DBA"/>
    <w:rsid w:val="00CE6193"/>
    <w:rsid w:val="00CF0805"/>
    <w:rsid w:val="00CF088F"/>
    <w:rsid w:val="00D132AD"/>
    <w:rsid w:val="00D1347D"/>
    <w:rsid w:val="00D3460B"/>
    <w:rsid w:val="00D420B8"/>
    <w:rsid w:val="00D54836"/>
    <w:rsid w:val="00D60D56"/>
    <w:rsid w:val="00D64C64"/>
    <w:rsid w:val="00D84E41"/>
    <w:rsid w:val="00D94086"/>
    <w:rsid w:val="00D95E8D"/>
    <w:rsid w:val="00D969FC"/>
    <w:rsid w:val="00DA153F"/>
    <w:rsid w:val="00DB0888"/>
    <w:rsid w:val="00DB48F2"/>
    <w:rsid w:val="00DC0E0D"/>
    <w:rsid w:val="00DC29DF"/>
    <w:rsid w:val="00DD707F"/>
    <w:rsid w:val="00DE0807"/>
    <w:rsid w:val="00E2017E"/>
    <w:rsid w:val="00E26D4E"/>
    <w:rsid w:val="00E30B8C"/>
    <w:rsid w:val="00E35022"/>
    <w:rsid w:val="00E412B6"/>
    <w:rsid w:val="00E47D21"/>
    <w:rsid w:val="00E53777"/>
    <w:rsid w:val="00E670E5"/>
    <w:rsid w:val="00E84ABE"/>
    <w:rsid w:val="00EA04A5"/>
    <w:rsid w:val="00EA5F22"/>
    <w:rsid w:val="00ED1AEE"/>
    <w:rsid w:val="00F01D64"/>
    <w:rsid w:val="00F20437"/>
    <w:rsid w:val="00F240D5"/>
    <w:rsid w:val="00F30CBC"/>
    <w:rsid w:val="00F76982"/>
    <w:rsid w:val="00F772DA"/>
    <w:rsid w:val="00F915EE"/>
    <w:rsid w:val="00F97802"/>
    <w:rsid w:val="00FA5035"/>
    <w:rsid w:val="00FA5FE3"/>
    <w:rsid w:val="00FB0E05"/>
    <w:rsid w:val="00FE7744"/>
    <w:rsid w:val="00FF4803"/>
    <w:rsid w:val="00FF62B9"/>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C30233A-0BD5-401D-8F70-E4583580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6B"/>
  </w:style>
  <w:style w:type="paragraph" w:styleId="Heading3">
    <w:name w:val="heading 3"/>
    <w:basedOn w:val="Normal"/>
    <w:link w:val="Heading3Char"/>
    <w:uiPriority w:val="9"/>
    <w:qFormat/>
    <w:rsid w:val="00981F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19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81904"/>
    <w:rPr>
      <w:rFonts w:ascii="Consolas" w:hAnsi="Consolas"/>
      <w:sz w:val="21"/>
      <w:szCs w:val="21"/>
    </w:rPr>
  </w:style>
  <w:style w:type="paragraph" w:styleId="ListParagraph">
    <w:name w:val="List Paragraph"/>
    <w:basedOn w:val="Normal"/>
    <w:uiPriority w:val="34"/>
    <w:qFormat/>
    <w:rsid w:val="006119DE"/>
    <w:pPr>
      <w:spacing w:after="0" w:line="240" w:lineRule="auto"/>
      <w:ind w:left="720"/>
    </w:pPr>
    <w:rPr>
      <w:rFonts w:ascii="Calibri" w:hAnsi="Calibri" w:cs="Times New Roman"/>
    </w:rPr>
  </w:style>
  <w:style w:type="paragraph" w:styleId="NormalWeb">
    <w:name w:val="Normal (Web)"/>
    <w:basedOn w:val="Normal"/>
    <w:uiPriority w:val="99"/>
    <w:unhideWhenUsed/>
    <w:rsid w:val="00A711C5"/>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F639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F639D"/>
    <w:rPr>
      <w:rFonts w:ascii="Lucida Grande" w:hAnsi="Lucida Grande"/>
      <w:sz w:val="18"/>
      <w:szCs w:val="18"/>
    </w:rPr>
  </w:style>
  <w:style w:type="paragraph" w:styleId="Header">
    <w:name w:val="header"/>
    <w:basedOn w:val="Normal"/>
    <w:link w:val="HeaderChar"/>
    <w:uiPriority w:val="99"/>
    <w:semiHidden/>
    <w:unhideWhenUsed/>
    <w:rsid w:val="00D346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60B"/>
  </w:style>
  <w:style w:type="paragraph" w:styleId="Footer">
    <w:name w:val="footer"/>
    <w:basedOn w:val="Normal"/>
    <w:link w:val="FooterChar"/>
    <w:uiPriority w:val="99"/>
    <w:semiHidden/>
    <w:unhideWhenUsed/>
    <w:rsid w:val="00D346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60B"/>
  </w:style>
  <w:style w:type="paragraph" w:styleId="Title">
    <w:name w:val="Title"/>
    <w:basedOn w:val="Normal"/>
    <w:next w:val="Normal"/>
    <w:link w:val="TitleChar"/>
    <w:qFormat/>
    <w:rsid w:val="003350B9"/>
    <w:pPr>
      <w:spacing w:before="240" w:after="60" w:line="240" w:lineRule="auto"/>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3350B9"/>
    <w:rPr>
      <w:rFonts w:ascii="Cambria" w:eastAsia="Times New Roman" w:hAnsi="Cambria" w:cs="Times New Roman"/>
      <w:b/>
      <w:bCs/>
      <w:kern w:val="28"/>
      <w:sz w:val="32"/>
      <w:szCs w:val="32"/>
      <w:lang w:eastAsia="zh-CN"/>
    </w:rPr>
  </w:style>
  <w:style w:type="character" w:styleId="BookTitle">
    <w:name w:val="Book Title"/>
    <w:basedOn w:val="DefaultParagraphFont"/>
    <w:uiPriority w:val="33"/>
    <w:qFormat/>
    <w:rsid w:val="001C72F2"/>
    <w:rPr>
      <w:b/>
      <w:bCs/>
      <w:smallCaps/>
      <w:spacing w:val="5"/>
    </w:rPr>
  </w:style>
  <w:style w:type="character" w:styleId="Strong">
    <w:name w:val="Strong"/>
    <w:basedOn w:val="DefaultParagraphFont"/>
    <w:qFormat/>
    <w:rsid w:val="001C72F2"/>
    <w:rPr>
      <w:b/>
      <w:bCs/>
    </w:rPr>
  </w:style>
  <w:style w:type="character" w:styleId="Hyperlink">
    <w:name w:val="Hyperlink"/>
    <w:basedOn w:val="DefaultParagraphFont"/>
    <w:uiPriority w:val="99"/>
    <w:unhideWhenUsed/>
    <w:rsid w:val="001D4E28"/>
    <w:rPr>
      <w:color w:val="0000FF" w:themeColor="hyperlink"/>
      <w:u w:val="single"/>
    </w:rPr>
  </w:style>
  <w:style w:type="paragraph" w:customStyle="1" w:styleId="Default">
    <w:name w:val="Default"/>
    <w:rsid w:val="00D84E4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70AF4"/>
    <w:rPr>
      <w:sz w:val="16"/>
      <w:szCs w:val="16"/>
    </w:rPr>
  </w:style>
  <w:style w:type="paragraph" w:styleId="CommentText">
    <w:name w:val="annotation text"/>
    <w:basedOn w:val="Normal"/>
    <w:link w:val="CommentTextChar"/>
    <w:uiPriority w:val="99"/>
    <w:semiHidden/>
    <w:unhideWhenUsed/>
    <w:rsid w:val="00970AF4"/>
    <w:pPr>
      <w:spacing w:line="240" w:lineRule="auto"/>
    </w:pPr>
    <w:rPr>
      <w:sz w:val="20"/>
      <w:szCs w:val="20"/>
    </w:rPr>
  </w:style>
  <w:style w:type="character" w:customStyle="1" w:styleId="CommentTextChar">
    <w:name w:val="Comment Text Char"/>
    <w:basedOn w:val="DefaultParagraphFont"/>
    <w:link w:val="CommentText"/>
    <w:uiPriority w:val="99"/>
    <w:semiHidden/>
    <w:rsid w:val="00970AF4"/>
    <w:rPr>
      <w:sz w:val="20"/>
      <w:szCs w:val="20"/>
    </w:rPr>
  </w:style>
  <w:style w:type="paragraph" w:styleId="CommentSubject">
    <w:name w:val="annotation subject"/>
    <w:basedOn w:val="CommentText"/>
    <w:next w:val="CommentText"/>
    <w:link w:val="CommentSubjectChar"/>
    <w:uiPriority w:val="99"/>
    <w:semiHidden/>
    <w:unhideWhenUsed/>
    <w:rsid w:val="00970AF4"/>
    <w:rPr>
      <w:b/>
      <w:bCs/>
    </w:rPr>
  </w:style>
  <w:style w:type="character" w:customStyle="1" w:styleId="CommentSubjectChar">
    <w:name w:val="Comment Subject Char"/>
    <w:basedOn w:val="CommentTextChar"/>
    <w:link w:val="CommentSubject"/>
    <w:uiPriority w:val="99"/>
    <w:semiHidden/>
    <w:rsid w:val="00970AF4"/>
    <w:rPr>
      <w:b/>
      <w:bCs/>
      <w:sz w:val="20"/>
      <w:szCs w:val="20"/>
    </w:rPr>
  </w:style>
  <w:style w:type="character" w:customStyle="1" w:styleId="Heading3Char">
    <w:name w:val="Heading 3 Char"/>
    <w:basedOn w:val="DefaultParagraphFont"/>
    <w:link w:val="Heading3"/>
    <w:uiPriority w:val="9"/>
    <w:rsid w:val="00981F8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26981">
      <w:bodyDiv w:val="1"/>
      <w:marLeft w:val="0"/>
      <w:marRight w:val="0"/>
      <w:marTop w:val="0"/>
      <w:marBottom w:val="0"/>
      <w:divBdr>
        <w:top w:val="none" w:sz="0" w:space="0" w:color="auto"/>
        <w:left w:val="none" w:sz="0" w:space="0" w:color="auto"/>
        <w:bottom w:val="none" w:sz="0" w:space="0" w:color="auto"/>
        <w:right w:val="none" w:sz="0" w:space="0" w:color="auto"/>
      </w:divBdr>
      <w:divsChild>
        <w:div w:id="1663967445">
          <w:marLeft w:val="0"/>
          <w:marRight w:val="0"/>
          <w:marTop w:val="0"/>
          <w:marBottom w:val="0"/>
          <w:divBdr>
            <w:top w:val="none" w:sz="0" w:space="0" w:color="auto"/>
            <w:left w:val="none" w:sz="0" w:space="0" w:color="auto"/>
            <w:bottom w:val="none" w:sz="0" w:space="0" w:color="auto"/>
            <w:right w:val="none" w:sz="0" w:space="0" w:color="auto"/>
          </w:divBdr>
        </w:div>
      </w:divsChild>
    </w:div>
    <w:div w:id="838039698">
      <w:bodyDiv w:val="1"/>
      <w:marLeft w:val="0"/>
      <w:marRight w:val="0"/>
      <w:marTop w:val="0"/>
      <w:marBottom w:val="0"/>
      <w:divBdr>
        <w:top w:val="none" w:sz="0" w:space="0" w:color="auto"/>
        <w:left w:val="none" w:sz="0" w:space="0" w:color="auto"/>
        <w:bottom w:val="none" w:sz="0" w:space="0" w:color="auto"/>
        <w:right w:val="none" w:sz="0" w:space="0" w:color="auto"/>
      </w:divBdr>
      <w:divsChild>
        <w:div w:id="1292132667">
          <w:marLeft w:val="0"/>
          <w:marRight w:val="0"/>
          <w:marTop w:val="0"/>
          <w:marBottom w:val="0"/>
          <w:divBdr>
            <w:top w:val="none" w:sz="0" w:space="0" w:color="auto"/>
            <w:left w:val="none" w:sz="0" w:space="0" w:color="auto"/>
            <w:bottom w:val="none" w:sz="0" w:space="0" w:color="auto"/>
            <w:right w:val="none" w:sz="0" w:space="0" w:color="auto"/>
          </w:divBdr>
          <w:divsChild>
            <w:div w:id="279531611">
              <w:marLeft w:val="0"/>
              <w:marRight w:val="0"/>
              <w:marTop w:val="0"/>
              <w:marBottom w:val="150"/>
              <w:divBdr>
                <w:top w:val="none" w:sz="0" w:space="0" w:color="auto"/>
                <w:left w:val="none" w:sz="0" w:space="0" w:color="auto"/>
                <w:bottom w:val="none" w:sz="0" w:space="0" w:color="auto"/>
                <w:right w:val="none" w:sz="0" w:space="0" w:color="auto"/>
              </w:divBdr>
              <w:divsChild>
                <w:div w:id="887956486">
                  <w:marLeft w:val="0"/>
                  <w:marRight w:val="0"/>
                  <w:marTop w:val="0"/>
                  <w:marBottom w:val="0"/>
                  <w:divBdr>
                    <w:top w:val="none" w:sz="0" w:space="0" w:color="auto"/>
                    <w:left w:val="none" w:sz="0" w:space="0" w:color="auto"/>
                    <w:bottom w:val="none" w:sz="0" w:space="0" w:color="auto"/>
                    <w:right w:val="none" w:sz="0" w:space="0" w:color="auto"/>
                  </w:divBdr>
                  <w:divsChild>
                    <w:div w:id="1036269723">
                      <w:marLeft w:val="0"/>
                      <w:marRight w:val="0"/>
                      <w:marTop w:val="0"/>
                      <w:marBottom w:val="0"/>
                      <w:divBdr>
                        <w:top w:val="none" w:sz="0" w:space="0" w:color="auto"/>
                        <w:left w:val="none" w:sz="0" w:space="0" w:color="auto"/>
                        <w:bottom w:val="none" w:sz="0" w:space="0" w:color="auto"/>
                        <w:right w:val="none" w:sz="0" w:space="0" w:color="auto"/>
                      </w:divBdr>
                      <w:divsChild>
                        <w:div w:id="417215593">
                          <w:marLeft w:val="0"/>
                          <w:marRight w:val="0"/>
                          <w:marTop w:val="75"/>
                          <w:marBottom w:val="0"/>
                          <w:divBdr>
                            <w:top w:val="none" w:sz="0" w:space="0" w:color="auto"/>
                            <w:left w:val="none" w:sz="0" w:space="0" w:color="auto"/>
                            <w:bottom w:val="none" w:sz="0" w:space="0" w:color="auto"/>
                            <w:right w:val="none" w:sz="0" w:space="0" w:color="auto"/>
                          </w:divBdr>
                          <w:divsChild>
                            <w:div w:id="899096929">
                              <w:marLeft w:val="0"/>
                              <w:marRight w:val="0"/>
                              <w:marTop w:val="0"/>
                              <w:marBottom w:val="0"/>
                              <w:divBdr>
                                <w:top w:val="none" w:sz="0" w:space="0" w:color="auto"/>
                                <w:left w:val="none" w:sz="0" w:space="0" w:color="auto"/>
                                <w:bottom w:val="none" w:sz="0" w:space="0" w:color="auto"/>
                                <w:right w:val="none" w:sz="0" w:space="0" w:color="auto"/>
                              </w:divBdr>
                              <w:divsChild>
                                <w:div w:id="748498268">
                                  <w:marLeft w:val="0"/>
                                  <w:marRight w:val="0"/>
                                  <w:marTop w:val="0"/>
                                  <w:marBottom w:val="0"/>
                                  <w:divBdr>
                                    <w:top w:val="none" w:sz="0" w:space="0" w:color="auto"/>
                                    <w:left w:val="none" w:sz="0" w:space="0" w:color="auto"/>
                                    <w:bottom w:val="none" w:sz="0" w:space="0" w:color="auto"/>
                                    <w:right w:val="none" w:sz="0" w:space="0" w:color="auto"/>
                                  </w:divBdr>
                                  <w:divsChild>
                                    <w:div w:id="31155341">
                                      <w:marLeft w:val="0"/>
                                      <w:marRight w:val="0"/>
                                      <w:marTop w:val="0"/>
                                      <w:marBottom w:val="0"/>
                                      <w:divBdr>
                                        <w:top w:val="none" w:sz="0" w:space="0" w:color="auto"/>
                                        <w:left w:val="none" w:sz="0" w:space="0" w:color="auto"/>
                                        <w:bottom w:val="none" w:sz="0" w:space="0" w:color="auto"/>
                                        <w:right w:val="none" w:sz="0" w:space="0" w:color="auto"/>
                                      </w:divBdr>
                                      <w:divsChild>
                                        <w:div w:id="16859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72768">
      <w:bodyDiv w:val="1"/>
      <w:marLeft w:val="0"/>
      <w:marRight w:val="0"/>
      <w:marTop w:val="0"/>
      <w:marBottom w:val="0"/>
      <w:divBdr>
        <w:top w:val="none" w:sz="0" w:space="0" w:color="auto"/>
        <w:left w:val="none" w:sz="0" w:space="0" w:color="auto"/>
        <w:bottom w:val="none" w:sz="0" w:space="0" w:color="auto"/>
        <w:right w:val="none" w:sz="0" w:space="0" w:color="auto"/>
      </w:divBdr>
      <w:divsChild>
        <w:div w:id="234977387">
          <w:marLeft w:val="0"/>
          <w:marRight w:val="0"/>
          <w:marTop w:val="0"/>
          <w:marBottom w:val="0"/>
          <w:divBdr>
            <w:top w:val="none" w:sz="0" w:space="0" w:color="auto"/>
            <w:left w:val="none" w:sz="0" w:space="0" w:color="auto"/>
            <w:bottom w:val="none" w:sz="0" w:space="0" w:color="auto"/>
            <w:right w:val="none" w:sz="0" w:space="0" w:color="auto"/>
          </w:divBdr>
        </w:div>
      </w:divsChild>
    </w:div>
    <w:div w:id="1063913236">
      <w:bodyDiv w:val="1"/>
      <w:marLeft w:val="0"/>
      <w:marRight w:val="0"/>
      <w:marTop w:val="0"/>
      <w:marBottom w:val="0"/>
      <w:divBdr>
        <w:top w:val="none" w:sz="0" w:space="0" w:color="auto"/>
        <w:left w:val="none" w:sz="0" w:space="0" w:color="auto"/>
        <w:bottom w:val="none" w:sz="0" w:space="0" w:color="auto"/>
        <w:right w:val="none" w:sz="0" w:space="0" w:color="auto"/>
      </w:divBdr>
    </w:div>
    <w:div w:id="1443645468">
      <w:bodyDiv w:val="1"/>
      <w:marLeft w:val="0"/>
      <w:marRight w:val="0"/>
      <w:marTop w:val="0"/>
      <w:marBottom w:val="0"/>
      <w:divBdr>
        <w:top w:val="none" w:sz="0" w:space="0" w:color="auto"/>
        <w:left w:val="none" w:sz="0" w:space="0" w:color="auto"/>
        <w:bottom w:val="none" w:sz="0" w:space="0" w:color="auto"/>
        <w:right w:val="none" w:sz="0" w:space="0" w:color="auto"/>
      </w:divBdr>
      <w:divsChild>
        <w:div w:id="445663576">
          <w:marLeft w:val="0"/>
          <w:marRight w:val="0"/>
          <w:marTop w:val="0"/>
          <w:marBottom w:val="0"/>
          <w:divBdr>
            <w:top w:val="none" w:sz="0" w:space="0" w:color="auto"/>
            <w:left w:val="none" w:sz="0" w:space="0" w:color="auto"/>
            <w:bottom w:val="none" w:sz="0" w:space="0" w:color="auto"/>
            <w:right w:val="none" w:sz="0" w:space="0" w:color="auto"/>
          </w:divBdr>
          <w:divsChild>
            <w:div w:id="870993272">
              <w:marLeft w:val="0"/>
              <w:marRight w:val="0"/>
              <w:marTop w:val="1050"/>
              <w:marBottom w:val="0"/>
              <w:divBdr>
                <w:top w:val="none" w:sz="0" w:space="0" w:color="auto"/>
                <w:left w:val="none" w:sz="0" w:space="0" w:color="auto"/>
                <w:bottom w:val="none" w:sz="0" w:space="0" w:color="auto"/>
                <w:right w:val="none" w:sz="0" w:space="0" w:color="auto"/>
              </w:divBdr>
              <w:divsChild>
                <w:div w:id="1951622816">
                  <w:marLeft w:val="0"/>
                  <w:marRight w:val="0"/>
                  <w:marTop w:val="0"/>
                  <w:marBottom w:val="0"/>
                  <w:divBdr>
                    <w:top w:val="none" w:sz="0" w:space="0" w:color="auto"/>
                    <w:left w:val="none" w:sz="0" w:space="0" w:color="auto"/>
                    <w:bottom w:val="none" w:sz="0" w:space="0" w:color="auto"/>
                    <w:right w:val="none" w:sz="0" w:space="0" w:color="auto"/>
                  </w:divBdr>
                  <w:divsChild>
                    <w:div w:id="186213172">
                      <w:marLeft w:val="0"/>
                      <w:marRight w:val="0"/>
                      <w:marTop w:val="0"/>
                      <w:marBottom w:val="0"/>
                      <w:divBdr>
                        <w:top w:val="none" w:sz="0" w:space="0" w:color="auto"/>
                        <w:left w:val="none" w:sz="0" w:space="0" w:color="auto"/>
                        <w:bottom w:val="none" w:sz="0" w:space="0" w:color="auto"/>
                        <w:right w:val="none" w:sz="0" w:space="0" w:color="auto"/>
                      </w:divBdr>
                      <w:divsChild>
                        <w:div w:id="1647082718">
                          <w:marLeft w:val="0"/>
                          <w:marRight w:val="0"/>
                          <w:marTop w:val="0"/>
                          <w:marBottom w:val="0"/>
                          <w:divBdr>
                            <w:top w:val="none" w:sz="0" w:space="0" w:color="auto"/>
                            <w:left w:val="none" w:sz="0" w:space="0" w:color="auto"/>
                            <w:bottom w:val="none" w:sz="0" w:space="0" w:color="auto"/>
                            <w:right w:val="none" w:sz="0" w:space="0" w:color="auto"/>
                          </w:divBdr>
                          <w:divsChild>
                            <w:div w:id="506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5332">
      <w:bodyDiv w:val="1"/>
      <w:marLeft w:val="0"/>
      <w:marRight w:val="0"/>
      <w:marTop w:val="0"/>
      <w:marBottom w:val="0"/>
      <w:divBdr>
        <w:top w:val="none" w:sz="0" w:space="0" w:color="auto"/>
        <w:left w:val="none" w:sz="0" w:space="0" w:color="auto"/>
        <w:bottom w:val="none" w:sz="0" w:space="0" w:color="auto"/>
        <w:right w:val="none" w:sz="0" w:space="0" w:color="auto"/>
      </w:divBdr>
    </w:div>
    <w:div w:id="1864661896">
      <w:bodyDiv w:val="1"/>
      <w:marLeft w:val="0"/>
      <w:marRight w:val="0"/>
      <w:marTop w:val="0"/>
      <w:marBottom w:val="0"/>
      <w:divBdr>
        <w:top w:val="none" w:sz="0" w:space="0" w:color="auto"/>
        <w:left w:val="none" w:sz="0" w:space="0" w:color="auto"/>
        <w:bottom w:val="none" w:sz="0" w:space="0" w:color="auto"/>
        <w:right w:val="none" w:sz="0" w:space="0" w:color="auto"/>
      </w:divBdr>
    </w:div>
    <w:div w:id="204277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608CE-8690-4F5E-9282-6635494B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dc:creator>
  <cp:lastModifiedBy>Deborah Washington</cp:lastModifiedBy>
  <cp:revision>2</cp:revision>
  <cp:lastPrinted>2012-03-27T19:43:00Z</cp:lastPrinted>
  <dcterms:created xsi:type="dcterms:W3CDTF">2017-11-30T17:27:00Z</dcterms:created>
  <dcterms:modified xsi:type="dcterms:W3CDTF">2017-11-30T17:27:00Z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