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13" w:rsidRDefault="00924F13" w:rsidP="00924F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24F13">
        <w:rPr>
          <w:rFonts w:ascii="Garamond" w:hAnsi="Garamond"/>
          <w:b/>
          <w:sz w:val="24"/>
          <w:szCs w:val="24"/>
        </w:rPr>
        <w:t>Walker Project Update Images/Tables</w:t>
      </w:r>
    </w:p>
    <w:p w:rsidR="00924F13" w:rsidRDefault="00924F13" w:rsidP="00924F13">
      <w:pPr>
        <w:jc w:val="center"/>
        <w:rPr>
          <w:rFonts w:ascii="Garamond" w:hAnsi="Garamond"/>
          <w:b/>
          <w:sz w:val="24"/>
          <w:szCs w:val="24"/>
        </w:rPr>
      </w:pPr>
      <w:r w:rsidRPr="00924F13">
        <w:rPr>
          <w:rFonts w:ascii="Garamond" w:hAnsi="Garamond"/>
          <w:b/>
          <w:sz w:val="24"/>
          <w:szCs w:val="24"/>
        </w:rPr>
        <w:t>September 16, 2010</w:t>
      </w:r>
    </w:p>
    <w:p w:rsidR="00924F13" w:rsidRDefault="00924F13" w:rsidP="00E00B84">
      <w:pPr>
        <w:pStyle w:val="PlainText"/>
        <w:ind w:firstLine="720"/>
        <w:jc w:val="both"/>
        <w:rPr>
          <w:rFonts w:asciiTheme="minorHAnsi" w:hAnsiTheme="minorHAnsi"/>
          <w:b/>
          <w:color w:val="595959" w:themeColor="text1" w:themeTint="A6"/>
          <w:sz w:val="20"/>
          <w:szCs w:val="20"/>
        </w:rPr>
      </w:pPr>
      <w:r w:rsidRPr="00216837">
        <w:rPr>
          <w:rFonts w:asciiTheme="minorHAnsi" w:hAnsiTheme="minorHAnsi"/>
          <w:b/>
          <w:color w:val="595959" w:themeColor="text1" w:themeTint="A6"/>
          <w:sz w:val="20"/>
          <w:szCs w:val="20"/>
        </w:rPr>
        <w:t xml:space="preserve">Table 1.1: Volume-weighted average OTC carbon offset prices for forest projects in 2008  </w:t>
      </w:r>
    </w:p>
    <w:p w:rsidR="00E00B84" w:rsidRPr="00216837" w:rsidRDefault="00E00B84" w:rsidP="00E00B84">
      <w:pPr>
        <w:pStyle w:val="PlainText"/>
        <w:ind w:firstLine="720"/>
        <w:jc w:val="both"/>
        <w:rPr>
          <w:rFonts w:asciiTheme="minorHAnsi" w:hAnsiTheme="minorHAnsi"/>
          <w:b/>
          <w:color w:val="595959" w:themeColor="text1" w:themeTint="A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5"/>
        <w:gridCol w:w="2316"/>
        <w:gridCol w:w="1881"/>
      </w:tblGrid>
      <w:tr w:rsidR="00924F13" w:rsidRPr="00216837" w:rsidTr="005A1318">
        <w:trPr>
          <w:jc w:val="center"/>
        </w:trPr>
        <w:tc>
          <w:tcPr>
            <w:tcW w:w="3995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Project type</w:t>
            </w:r>
          </w:p>
        </w:tc>
        <w:tc>
          <w:tcPr>
            <w:tcW w:w="2316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Price per ton of CO</w:t>
            </w:r>
            <w:r w:rsidRPr="00216837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  <w:vertAlign w:val="subscript"/>
              </w:rPr>
              <w:t>2</w:t>
            </w:r>
            <w:r w:rsidRPr="00216837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e (2008$)</w:t>
            </w:r>
          </w:p>
        </w:tc>
        <w:tc>
          <w:tcPr>
            <w:tcW w:w="1881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i/>
                <w:color w:val="595959" w:themeColor="text1" w:themeTint="A6"/>
                <w:sz w:val="20"/>
                <w:szCs w:val="20"/>
              </w:rPr>
              <w:t>Price per mt C (2008$)</w:t>
            </w:r>
          </w:p>
        </w:tc>
      </w:tr>
      <w:tr w:rsidR="00924F13" w:rsidRPr="00216837" w:rsidTr="005A1318">
        <w:trPr>
          <w:jc w:val="center"/>
        </w:trPr>
        <w:tc>
          <w:tcPr>
            <w:tcW w:w="3995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Afforestation/Reforestation Plantation</w:t>
            </w:r>
          </w:p>
        </w:tc>
        <w:tc>
          <w:tcPr>
            <w:tcW w:w="2316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937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6.4</w:t>
            </w:r>
          </w:p>
        </w:tc>
        <w:tc>
          <w:tcPr>
            <w:tcW w:w="1881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568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25</w:t>
            </w:r>
          </w:p>
        </w:tc>
      </w:tr>
      <w:tr w:rsidR="00924F13" w:rsidRPr="00216837" w:rsidTr="005A1318">
        <w:trPr>
          <w:jc w:val="center"/>
        </w:trPr>
        <w:tc>
          <w:tcPr>
            <w:tcW w:w="3995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Afforestation/Reforestation Conservation</w:t>
            </w:r>
          </w:p>
        </w:tc>
        <w:tc>
          <w:tcPr>
            <w:tcW w:w="2316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937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7.5</w:t>
            </w:r>
          </w:p>
        </w:tc>
        <w:tc>
          <w:tcPr>
            <w:tcW w:w="1881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568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27.5</w:t>
            </w:r>
          </w:p>
        </w:tc>
      </w:tr>
      <w:tr w:rsidR="00924F13" w:rsidRPr="00216837" w:rsidTr="005A1318">
        <w:trPr>
          <w:jc w:val="center"/>
        </w:trPr>
        <w:tc>
          <w:tcPr>
            <w:tcW w:w="3995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Forest Management</w:t>
            </w:r>
          </w:p>
        </w:tc>
        <w:tc>
          <w:tcPr>
            <w:tcW w:w="2316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937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7.7</w:t>
            </w:r>
          </w:p>
        </w:tc>
        <w:tc>
          <w:tcPr>
            <w:tcW w:w="1881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568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28</w:t>
            </w:r>
          </w:p>
        </w:tc>
      </w:tr>
      <w:tr w:rsidR="00924F13" w:rsidRPr="00216837" w:rsidTr="005A1318">
        <w:trPr>
          <w:jc w:val="center"/>
        </w:trPr>
        <w:tc>
          <w:tcPr>
            <w:tcW w:w="3995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Avoided deforestation</w:t>
            </w:r>
          </w:p>
        </w:tc>
        <w:tc>
          <w:tcPr>
            <w:tcW w:w="2316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937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6.3</w:t>
            </w:r>
          </w:p>
        </w:tc>
        <w:tc>
          <w:tcPr>
            <w:tcW w:w="1881" w:type="dxa"/>
          </w:tcPr>
          <w:p w:rsidR="00924F13" w:rsidRPr="00216837" w:rsidRDefault="00924F13" w:rsidP="005A1318">
            <w:pPr>
              <w:pStyle w:val="NormalWeb"/>
              <w:spacing w:before="0" w:beforeAutospacing="0" w:after="0" w:afterAutospacing="0"/>
              <w:ind w:right="568"/>
              <w:jc w:val="both"/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23</w:t>
            </w:r>
          </w:p>
        </w:tc>
      </w:tr>
    </w:tbl>
    <w:p w:rsidR="00924F13" w:rsidRDefault="00924F13" w:rsidP="00924F13">
      <w:pPr>
        <w:rPr>
          <w:rFonts w:ascii="Garamond" w:hAnsi="Garamond"/>
          <w:sz w:val="24"/>
          <w:szCs w:val="24"/>
        </w:rPr>
      </w:pPr>
    </w:p>
    <w:p w:rsidR="00E00B84" w:rsidRPr="00216837" w:rsidRDefault="00E00B84" w:rsidP="00E00B84">
      <w:pPr>
        <w:ind w:left="720" w:right="630"/>
        <w:jc w:val="both"/>
        <w:rPr>
          <w:b/>
          <w:color w:val="595959" w:themeColor="text1" w:themeTint="A6"/>
          <w:sz w:val="20"/>
          <w:szCs w:val="20"/>
        </w:rPr>
      </w:pPr>
      <w:r w:rsidRPr="00216837">
        <w:rPr>
          <w:b/>
          <w:color w:val="595959" w:themeColor="text1" w:themeTint="A6"/>
          <w:sz w:val="20"/>
          <w:szCs w:val="20"/>
        </w:rPr>
        <w:t>Table 2.1: Total and average estimated residential open space premiums in study area counties</w:t>
      </w:r>
    </w:p>
    <w:tbl>
      <w:tblPr>
        <w:tblStyle w:val="TableGrid"/>
        <w:tblW w:w="0" w:type="auto"/>
        <w:jc w:val="center"/>
        <w:tblLook w:val="04A0"/>
      </w:tblPr>
      <w:tblGrid>
        <w:gridCol w:w="1800"/>
        <w:gridCol w:w="2160"/>
        <w:gridCol w:w="1980"/>
        <w:gridCol w:w="2070"/>
      </w:tblGrid>
      <w:tr w:rsidR="00E00B84" w:rsidRPr="00216837" w:rsidTr="005A1318">
        <w:trPr>
          <w:jc w:val="center"/>
        </w:trPr>
        <w:tc>
          <w:tcPr>
            <w:tcW w:w="18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i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i/>
                <w:color w:val="595959" w:themeColor="text1" w:themeTint="A6"/>
              </w:rPr>
              <w:t>County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i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i/>
                <w:color w:val="595959" w:themeColor="text1" w:themeTint="A6"/>
              </w:rPr>
              <w:t>Number of properties included in analysis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i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i/>
                <w:color w:val="595959" w:themeColor="text1" w:themeTint="A6"/>
              </w:rPr>
              <w:t>Total OS premium in county (2009$)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i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i/>
                <w:color w:val="595959" w:themeColor="text1" w:themeTint="A6"/>
              </w:rPr>
              <w:t>Average premium per property (2009$)</w:t>
            </w:r>
          </w:p>
        </w:tc>
      </w:tr>
      <w:tr w:rsidR="00E00B84" w:rsidRPr="00216837" w:rsidTr="005A1318">
        <w:trPr>
          <w:jc w:val="center"/>
        </w:trPr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Hyde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52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519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34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1,516,861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61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2,923</w:t>
            </w:r>
          </w:p>
        </w:tc>
      </w:tr>
      <w:tr w:rsidR="00E00B84" w:rsidRPr="00216837" w:rsidTr="005A1318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Beaufort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52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7,547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34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40,240,565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61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5,332</w:t>
            </w:r>
          </w:p>
        </w:tc>
      </w:tr>
      <w:tr w:rsidR="00E00B84" w:rsidRPr="00216837" w:rsidTr="005A1318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Dare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52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0 (all wetlands)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34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E00B84" w:rsidRPr="00216837" w:rsidRDefault="00E00B84" w:rsidP="005A1318">
            <w:pPr>
              <w:ind w:right="612"/>
              <w:jc w:val="both"/>
              <w:rPr>
                <w:rFonts w:asciiTheme="minorHAnsi" w:hAnsiTheme="minorHAnsi"/>
                <w:color w:val="595959" w:themeColor="text1" w:themeTint="A6"/>
              </w:rPr>
            </w:pPr>
            <w:r w:rsidRPr="00216837">
              <w:rPr>
                <w:rFonts w:asciiTheme="minorHAnsi" w:hAnsiTheme="minorHAnsi"/>
                <w:color w:val="595959" w:themeColor="text1" w:themeTint="A6"/>
              </w:rPr>
              <w:t>-</w:t>
            </w:r>
          </w:p>
        </w:tc>
      </w:tr>
      <w:tr w:rsidR="00E00B84" w:rsidRPr="00216837" w:rsidTr="005A1318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 xml:space="preserve">Tyrell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52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336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34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2,092,046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B84" w:rsidRPr="00216837" w:rsidRDefault="00E00B84" w:rsidP="005A1318">
            <w:pPr>
              <w:ind w:right="61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6,226</w:t>
            </w:r>
          </w:p>
        </w:tc>
      </w:tr>
      <w:tr w:rsidR="00E00B84" w:rsidRPr="00216837" w:rsidTr="005A1318">
        <w:trPr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 xml:space="preserve">Washington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ind w:right="52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1,536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ind w:right="34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6,706,284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ind w:right="61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4,366</w:t>
            </w:r>
          </w:p>
        </w:tc>
      </w:tr>
      <w:tr w:rsidR="00E00B84" w:rsidRPr="00216837" w:rsidTr="005A1318">
        <w:trPr>
          <w:jc w:val="center"/>
        </w:trPr>
        <w:tc>
          <w:tcPr>
            <w:tcW w:w="180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TOTAL</w:t>
            </w:r>
          </w:p>
        </w:tc>
        <w:tc>
          <w:tcPr>
            <w:tcW w:w="216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ind w:right="52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9,938</w:t>
            </w:r>
          </w:p>
        </w:tc>
        <w:tc>
          <w:tcPr>
            <w:tcW w:w="198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ind w:right="34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50,555,755</w:t>
            </w:r>
          </w:p>
        </w:tc>
        <w:tc>
          <w:tcPr>
            <w:tcW w:w="2070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E00B84" w:rsidRPr="00216837" w:rsidRDefault="00E00B84" w:rsidP="005A1318">
            <w:pPr>
              <w:ind w:right="612"/>
              <w:jc w:val="both"/>
              <w:rPr>
                <w:rFonts w:asciiTheme="minorHAnsi" w:hAnsiTheme="minorHAnsi" w:cs="Arial"/>
                <w:color w:val="595959" w:themeColor="text1" w:themeTint="A6"/>
              </w:rPr>
            </w:pPr>
            <w:r w:rsidRPr="00216837">
              <w:rPr>
                <w:rFonts w:asciiTheme="minorHAnsi" w:hAnsiTheme="minorHAnsi" w:cs="Arial"/>
                <w:color w:val="595959" w:themeColor="text1" w:themeTint="A6"/>
              </w:rPr>
              <w:t>5,087</w:t>
            </w:r>
          </w:p>
        </w:tc>
      </w:tr>
    </w:tbl>
    <w:p w:rsidR="00E00B84" w:rsidRPr="00216837" w:rsidRDefault="00E00B84" w:rsidP="00E00B84">
      <w:pPr>
        <w:spacing w:after="0"/>
        <w:jc w:val="both"/>
        <w:rPr>
          <w:color w:val="595959" w:themeColor="text1" w:themeTint="A6"/>
          <w:sz w:val="20"/>
          <w:szCs w:val="20"/>
        </w:rPr>
      </w:pPr>
    </w:p>
    <w:p w:rsidR="00B61280" w:rsidRPr="00216837" w:rsidRDefault="00B61280" w:rsidP="00B61280">
      <w:pPr>
        <w:jc w:val="both"/>
        <w:rPr>
          <w:b/>
          <w:color w:val="595959" w:themeColor="text1" w:themeTint="A6"/>
          <w:sz w:val="20"/>
          <w:szCs w:val="20"/>
        </w:rPr>
      </w:pPr>
      <w:proofErr w:type="gramStart"/>
      <w:r w:rsidRPr="00216837">
        <w:rPr>
          <w:b/>
          <w:color w:val="595959" w:themeColor="text1" w:themeTint="A6"/>
          <w:sz w:val="20"/>
          <w:szCs w:val="20"/>
        </w:rPr>
        <w:t xml:space="preserve">Figure </w:t>
      </w:r>
      <w:r>
        <w:rPr>
          <w:b/>
          <w:color w:val="595959" w:themeColor="text1" w:themeTint="A6"/>
          <w:sz w:val="20"/>
          <w:szCs w:val="20"/>
        </w:rPr>
        <w:t>3.1</w:t>
      </w:r>
      <w:r w:rsidRPr="00216837">
        <w:rPr>
          <w:b/>
          <w:color w:val="595959" w:themeColor="text1" w:themeTint="A6"/>
          <w:sz w:val="20"/>
          <w:szCs w:val="20"/>
        </w:rPr>
        <w:t>.</w:t>
      </w:r>
      <w:proofErr w:type="gramEnd"/>
      <w:r w:rsidRPr="00216837">
        <w:rPr>
          <w:b/>
          <w:color w:val="595959" w:themeColor="text1" w:themeTint="A6"/>
          <w:sz w:val="20"/>
          <w:szCs w:val="20"/>
        </w:rPr>
        <w:t xml:space="preserve"> NPV of Representative Farm Returns*</w:t>
      </w:r>
    </w:p>
    <w:p w:rsidR="00B61280" w:rsidRPr="00216837" w:rsidRDefault="00B61280" w:rsidP="00B61280">
      <w:pPr>
        <w:jc w:val="both"/>
        <w:rPr>
          <w:noProof/>
          <w:color w:val="595959" w:themeColor="text1" w:themeTint="A6"/>
          <w:sz w:val="20"/>
          <w:szCs w:val="20"/>
        </w:rPr>
      </w:pPr>
      <w:r w:rsidRPr="00216837">
        <w:rPr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5268468" cy="3699129"/>
            <wp:effectExtent l="12192" t="6096" r="5715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1280" w:rsidRDefault="00B61280" w:rsidP="00DE7AF8">
      <w:pPr>
        <w:jc w:val="both"/>
        <w:rPr>
          <w:color w:val="595959" w:themeColor="text1" w:themeTint="A6"/>
          <w:sz w:val="20"/>
          <w:szCs w:val="20"/>
        </w:rPr>
      </w:pPr>
      <w:r w:rsidRPr="00216837">
        <w:rPr>
          <w:color w:val="595959" w:themeColor="text1" w:themeTint="A6"/>
          <w:sz w:val="20"/>
          <w:szCs w:val="20"/>
        </w:rPr>
        <w:t>*Note that the y-axis begins at $1,000 NPV/acre.</w:t>
      </w:r>
    </w:p>
    <w:p w:rsidR="00C8613C" w:rsidRPr="00924F13" w:rsidRDefault="00C8613C" w:rsidP="00DE7AF8">
      <w:pPr>
        <w:jc w:val="both"/>
        <w:rPr>
          <w:rFonts w:ascii="Garamond" w:hAnsi="Garamond"/>
          <w:sz w:val="24"/>
          <w:szCs w:val="24"/>
        </w:rPr>
      </w:pPr>
      <w:r w:rsidRPr="00C8613C">
        <w:rPr>
          <w:color w:val="595959" w:themeColor="text1" w:themeTint="A6"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-209550</wp:posOffset>
            </wp:positionV>
            <wp:extent cx="2263140" cy="2943225"/>
            <wp:effectExtent l="38100" t="19050" r="22860" b="28575"/>
            <wp:wrapTight wrapText="bothSides">
              <wp:wrapPolygon edited="0">
                <wp:start x="-364" y="-140"/>
                <wp:lineTo x="-364" y="21810"/>
                <wp:lineTo x="21818" y="21810"/>
                <wp:lineTo x="21818" y="-140"/>
                <wp:lineTo x="-364" y="-140"/>
              </wp:wrapPolygon>
            </wp:wrapTight>
            <wp:docPr id="5" name="Picture 1" descr="dismalswamp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malswamps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943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C8613C" w:rsidRPr="00924F13" w:rsidSect="00DE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F13"/>
    <w:rsid w:val="008A39E5"/>
    <w:rsid w:val="00924F13"/>
    <w:rsid w:val="00B61280"/>
    <w:rsid w:val="00C8613C"/>
    <w:rsid w:val="00DE1838"/>
    <w:rsid w:val="00DE7AF8"/>
    <w:rsid w:val="00E0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2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24F1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4F13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E0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icknet.env.duke.edu\network\research\kramer\Ecosystem%20Services%20Projects\Red%20Wolf%20Project\Cash%20Flow%20Model\Red%20Wolf%20Carbon%20Cash%20Flow%20Model_03.04.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8507726007933267"/>
          <c:y val="5.2183604680140716E-2"/>
          <c:w val="0.78735381761490364"/>
          <c:h val="0.79425689470008531"/>
        </c:manualLayout>
      </c:layout>
      <c:barChart>
        <c:barDir val="col"/>
        <c:grouping val="clustered"/>
        <c:ser>
          <c:idx val="0"/>
          <c:order val="0"/>
          <c:tx>
            <c:strRef>
              <c:f>'Comp graph'!$E$30</c:f>
              <c:strCache>
                <c:ptCount val="1"/>
                <c:pt idx="0">
                  <c:v>Farm A</c:v>
                </c:pt>
              </c:strCache>
            </c:strRef>
          </c:tx>
          <c:cat>
            <c:strRef>
              <c:f>'Comp graph'!$D$31:$D$35</c:f>
              <c:strCache>
                <c:ptCount val="5"/>
                <c:pt idx="0">
                  <c:v>BAU</c:v>
                </c:pt>
                <c:pt idx="1">
                  <c:v>Conservation - low </c:v>
                </c:pt>
                <c:pt idx="2">
                  <c:v>Conservation - high</c:v>
                </c:pt>
                <c:pt idx="3">
                  <c:v>Carbon - low</c:v>
                </c:pt>
                <c:pt idx="4">
                  <c:v>Carbon - high</c:v>
                </c:pt>
              </c:strCache>
            </c:strRef>
          </c:cat>
          <c:val>
            <c:numRef>
              <c:f>'Comp graph'!$E$31:$E$35</c:f>
              <c:numCache>
                <c:formatCode>_("$"* #,##0_);_("$"* \(#,##0\);_("$"* "-"??_);_(@_)</c:formatCode>
                <c:ptCount val="5"/>
                <c:pt idx="0">
                  <c:v>1486</c:v>
                </c:pt>
                <c:pt idx="1">
                  <c:v>1548</c:v>
                </c:pt>
                <c:pt idx="2">
                  <c:v>1679</c:v>
                </c:pt>
                <c:pt idx="3">
                  <c:v>1507</c:v>
                </c:pt>
                <c:pt idx="4">
                  <c:v>1696</c:v>
                </c:pt>
              </c:numCache>
            </c:numRef>
          </c:val>
        </c:ser>
        <c:ser>
          <c:idx val="1"/>
          <c:order val="1"/>
          <c:tx>
            <c:strRef>
              <c:f>'Comp graph'!$F$30</c:f>
              <c:strCache>
                <c:ptCount val="1"/>
                <c:pt idx="0">
                  <c:v>Farm B</c:v>
                </c:pt>
              </c:strCache>
            </c:strRef>
          </c:tx>
          <c:cat>
            <c:strRef>
              <c:f>'Comp graph'!$D$31:$D$35</c:f>
              <c:strCache>
                <c:ptCount val="5"/>
                <c:pt idx="0">
                  <c:v>BAU</c:v>
                </c:pt>
                <c:pt idx="1">
                  <c:v>Conservation - low </c:v>
                </c:pt>
                <c:pt idx="2">
                  <c:v>Conservation - high</c:v>
                </c:pt>
                <c:pt idx="3">
                  <c:v>Carbon - low</c:v>
                </c:pt>
                <c:pt idx="4">
                  <c:v>Carbon - high</c:v>
                </c:pt>
              </c:strCache>
            </c:strRef>
          </c:cat>
          <c:val>
            <c:numRef>
              <c:f>'Comp graph'!$F$31:$F$35</c:f>
              <c:numCache>
                <c:formatCode>_("$"* #,##0_);_("$"* \(#,##0\);_("$"* "-"??_);_(@_)</c:formatCode>
                <c:ptCount val="5"/>
                <c:pt idx="0">
                  <c:v>1653</c:v>
                </c:pt>
                <c:pt idx="1">
                  <c:v>1694</c:v>
                </c:pt>
                <c:pt idx="2">
                  <c:v>1780</c:v>
                </c:pt>
                <c:pt idx="3">
                  <c:v>1612</c:v>
                </c:pt>
                <c:pt idx="4">
                  <c:v>1856</c:v>
                </c:pt>
              </c:numCache>
            </c:numRef>
          </c:val>
        </c:ser>
        <c:axId val="101358208"/>
        <c:axId val="101360000"/>
      </c:barChart>
      <c:catAx>
        <c:axId val="101358208"/>
        <c:scaling>
          <c:orientation val="minMax"/>
        </c:scaling>
        <c:axPos val="b"/>
        <c:tickLblPos val="nextTo"/>
        <c:crossAx val="101360000"/>
        <c:crosses val="autoZero"/>
        <c:auto val="1"/>
        <c:lblAlgn val="ctr"/>
        <c:lblOffset val="100"/>
      </c:catAx>
      <c:valAx>
        <c:axId val="101360000"/>
        <c:scaling>
          <c:orientation val="minMax"/>
          <c:min val="1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NPV/acre</a:t>
                </a:r>
              </a:p>
            </c:rich>
          </c:tx>
          <c:layout/>
        </c:title>
        <c:numFmt formatCode="_(&quot;$&quot;* #,##0_);_(&quot;$&quot;* \(#,##0\);_(&quot;$&quot;* &quot;-&quot;_);_(@_)" sourceLinked="0"/>
        <c:tickLblPos val="nextTo"/>
        <c:crossAx val="101358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Company> 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janetr</dc:creator>
  <cp:keywords/>
  <dc:description/>
  <cp:lastModifiedBy>janetr</cp:lastModifiedBy>
  <cp:revision>6</cp:revision>
  <dcterms:created xsi:type="dcterms:W3CDTF">2010-09-16T20:44:00Z</dcterms:created>
  <dcterms:modified xsi:type="dcterms:W3CDTF">2010-09-16T20:49:00Z</dcterms:modified>
</cp:coreProperties>
</file>